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0" w:after="60" w:line="276" w:lineRule="auto"/>
        <w:jc w:val="center"/>
      </w:pPr>
      <w:r>
        <w:rPr>
          <w:rFonts w:ascii="Arial" w:hAnsi="Arial" w:cs="Arial"/>
          <w:b/>
          <w:color w:val="091E32"/>
          <w:sz w:val="40"/>
          <w:szCs w:val="40"/>
        </w:rPr>
        <w:t xml:space="preserve">Financial Section of the Business Plan</w:t>
      </w:r>
    </w:p>
    <w:p>
      <w:pPr>
        <w:spacing w:before="0" w:after="40" w:line="276" w:lineRule="auto"/>
        <w:jc w:val="center"/>
      </w:pPr>
      <w:r>
        <w:rPr>
          <w:rFonts w:ascii="Arial" w:hAnsi="Arial" w:cs="Arial"/>
          <w:b/>
          <w:color w:val="1A1A1A"/>
          <w:sz w:val="26"/>
          <w:szCs w:val="26"/>
        </w:rPr>
        <w:t xml:space="preserve">Holzmann Joinery GmbH</w:t>
      </w:r>
    </w:p>
    <w:p>
      <w:pPr>
        <w:spacing w:before="0" w:after="400" w:line="276" w:lineRule="auto"/>
        <w:jc w:val="center"/>
      </w:pPr>
      <w:r>
        <w:rPr>
          <w:rFonts w:ascii="Arial" w:hAnsi="Arial" w:cs="Arial"/>
          <w:color w:val="5A6672"/>
          <w:sz w:val="20"/>
          <w:szCs w:val="20"/>
        </w:rPr>
        <w:t xml:space="preserve">Created from the Planvik financial plan</w:t>
      </w:r>
    </w:p>
    <w:p>
      <w:pPr>
        <w:spacing w:before="0" w:after="260" w:line="276" w:lineRule="auto"/>
        <w:jc w:val="both"/>
      </w:pPr>
      <w:r>
        <w:rPr>
          <w:rFonts w:ascii="Arial" w:hAnsi="Arial" w:cs="Arial"/>
          <w:color w:val="33628F"/>
          <w:sz w:val="18"/>
          <w:szCs w:val="18"/>
        </w:rPr>
        <w:t xml:space="preserve">Note: All figures come from the attached Excel financial model. Replace the blue passages in square brackets with your own reasoning and delete the brackets.</w:t>
      </w:r>
    </w:p>
    <w:p>
      <w:pPr>
        <w:pStyle w:val="Heading1"/>
      </w:pPr>
      <w:r>
        <w:t xml:space="preserve">7. Capital Requirements and Financing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Purpose of the project: Purchase of a CNC machining centre and growth of the business client segment.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total financing requirement is €220,000. Of this, €180,000 is debt-financed; €40,000 is contributed as equity.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Use of Funds</w:t>
      </w:r>
    </w:p>
    <w:p>
      <w:pPr>
        <w:keepNext/>
        <w:spacing w:after="60"/>
      </w:pPr>
    </w:p>
    <w:tbl>
      <w:tblPr>
        <w:tblW w:w="86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6200"/>
        <w:gridCol w:w="2400"/>
      </w:tblGrid>
      <w:tr>
        <w:trPr>
          <w:cantSplit/>
          <w:tblHeader/>
        </w:trPr>
        <w:tc>
          <w:tcPr>
            <w:tcW w:w="62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2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CNC machining centre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€85,000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Extraction system and workshop equipment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€22,000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investments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€107,000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Working capital and ramp-up</w:t>
            </w:r>
          </w:p>
        </w:tc>
        <w:tc>
          <w:tcPr>
            <w:tcW w:w="2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€113,000</w:t>
            </w:r>
          </w:p>
        </w:tc>
      </w:tr>
      <w:tr>
        <w:trPr>
          <w:cantSplit/>
        </w:trPr>
        <w:tc>
          <w:tcPr>
            <w:tcW w:w="62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capital requirement</w:t>
            </w:r>
          </w:p>
        </w:tc>
        <w:tc>
          <w:tcPr>
            <w:tcW w:w="2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€220,000</w:t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explain the two or three largest investment items in one sentence each.]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Financing Structure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financing of the project consists of the following new components:</w:t>
      </w:r>
    </w:p>
    <w:p>
      <w:pPr>
        <w:keepNext/>
        <w:spacing w:after="60"/>
      </w:pPr>
    </w:p>
    <w:tbl>
      <w:tblPr>
        <w:tblW w:w="89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2900"/>
        <w:gridCol w:w="1600"/>
        <w:gridCol w:w="1100"/>
        <w:gridCol w:w="1900"/>
        <w:gridCol w:w="1400"/>
      </w:tblGrid>
      <w:tr>
        <w:trPr>
          <w:cantSplit/>
          <w:tblHeader/>
        </w:trPr>
        <w:tc>
          <w:tcPr>
            <w:tcW w:w="2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Component</w:t>
            </w:r>
          </w:p>
        </w:tc>
        <w:tc>
          <w:tcPr>
            <w:tcW w:w="16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Amount</w:t>
            </w:r>
          </w:p>
        </w:tc>
        <w:tc>
          <w:tcPr>
            <w:tcW w:w="11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Interest p.a.</w:t>
            </w:r>
          </w:p>
        </w:tc>
        <w:tc>
          <w:tcPr>
            <w:tcW w:w="1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Term</w:t>
            </w:r>
          </w:p>
        </w:tc>
        <w:tc>
          <w:tcPr>
            <w:tcW w:w="14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Repayment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Bank loan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€180,000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5.9%</w:t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6 years (until 03/2032)</w:t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Annuity</w:t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Equity contribution</w:t>
            </w:r>
          </w:p>
        </w:tc>
        <w:tc>
          <w:tcPr>
            <w:tcW w:w="16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€40,000</w:t>
            </w:r>
          </w:p>
        </w:tc>
        <w:tc>
          <w:tcPr>
            <w:tcW w:w="11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  <w:tr>
        <w:trPr>
          <w:cantSplit/>
        </w:trPr>
        <w:tc>
          <w:tcPr>
            <w:tcW w:w="2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</w:t>
            </w:r>
          </w:p>
        </w:tc>
        <w:tc>
          <w:tcPr>
            <w:tcW w:w="16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€220,000</w:t>
            </w:r>
          </w:p>
        </w:tc>
        <w:tc>
          <w:tcPr>
            <w:tcW w:w="11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9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  <w:tc>
          <w:tcPr>
            <w:tcW w:w="14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/>
            </w:r>
          </w:p>
        </w:tc>
      </w:tr>
    </w:tbl>
    <w:p>
      <w:pPr>
        <w:spacing w:after="200"/>
      </w:pP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briefly justify terms and repayment structure, e.g. the term follows the useful life of the investment.]</w:t>
      </w:r>
    </w:p>
    <w:p>
      <w:pPr>
        <w:pStyle w:val="Heading1"/>
      </w:pPr>
      <w:r>
        <w:t xml:space="preserve">8. Financial Plan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Profitability Forecast (P&amp;L Plan)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revenue plan is built bottom-up: each revenue line from price and volume, with individually defined growth rates. The largest revenue lines in the first plan year are Custom furniture (private clients) at €216,000 and Interior fit-out for business clients at €68,400.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Revenue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€284,400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€362,880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€463,536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income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€12,000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Cost of materials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-€108,072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-€137,894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-€176,144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Personnel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-€112,240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-€161,772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-€165,008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Other operating expenses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-€79,400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-€76,158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-€77,965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EBITDA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-€3,312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-€12,944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€44,419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Depreciation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-€6,375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-€11,381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-€11,643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-€7,591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-€8,768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-€7,135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Taxes (30%)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€0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-€7,692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Net income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-€17,278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-€33,093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€17,949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plan reaches a positive net income in 2028; 2026 is planned as a ramp-up year with a negative result.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33628F"/>
          <w:sz w:val="22"/>
          <w:szCs w:val="22"/>
        </w:rPr>
        <w:t xml:space="preserve">The planned growth is supported by the following measures: Cooperation with two regional architecture firms and expansion of the showroom.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Liquidity</w:t>
      </w: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The liquidity plan is included in the attached financial model on a monthly basis for the first plan year (Cash Flow sheet), including VAT, payment terms (30 days receivables, 25 days payables) and all loan repayments.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[Optional: state your liquidity reserve or an existing overdraft facility here.]</w:t>
      </w:r>
    </w:p>
    <w:p>
      <w:pPr>
        <w:keepNext/>
        <w:spacing w:before="220" w:after="90" w:line="276" w:lineRule="auto"/>
      </w:pPr>
      <w:r>
        <w:rPr>
          <w:rFonts w:ascii="Arial" w:hAnsi="Arial" w:cs="Arial"/>
          <w:b/>
          <w:color w:val="091E32"/>
          <w:sz w:val="24"/>
          <w:szCs w:val="24"/>
        </w:rPr>
        <w:t xml:space="preserve">Debt Service Capacity</w:t>
      </w:r>
    </w:p>
    <w:p>
      <w:pPr>
        <w:keepNext/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comprises interest and repayment of all existing and new financing. It is compared with cash flow before debt service (EBITDA less taxes):</w:t>
      </w:r>
    </w:p>
    <w:p>
      <w:pPr>
        <w:keepNext/>
        <w:spacing w:after="60"/>
      </w:pPr>
    </w:p>
    <w:tbl>
      <w:tblPr>
        <w:tblW w:w="9300" w:type="dxa"/>
        <w:tblBorders>
          <w:top w:val="single" w:sz="4" w:space="0" w:color="E4E8EC"/>
          <w:left w:val="single" w:sz="4" w:space="0" w:color="E4E8EC"/>
          <w:bottom w:val="single" w:sz="4" w:space="0" w:color="E4E8EC"/>
          <w:right w:val="single" w:sz="4" w:space="0" w:color="E4E8EC"/>
          <w:insideH w:val="single" w:sz="4" w:space="0" w:color="E4E8EC"/>
          <w:insideV w:val="single" w:sz="4" w:space="0" w:color="E4E8EC"/>
        </w:tblBorders>
        <w:tblCellMar>
          <w:left w:w="100" w:type="dxa"/>
          <w:right w:w="100" w:type="dxa"/>
        </w:tblCellMar>
      </w:tblPr>
      <w:tblGrid>
        <w:gridCol w:w="3900"/>
        <w:gridCol w:w="1800"/>
        <w:gridCol w:w="1800"/>
        <w:gridCol w:w="1800"/>
      </w:tblGrid>
      <w:tr>
        <w:trPr>
          <w:cantSplit/>
          <w:tblHeader/>
        </w:trPr>
        <w:tc>
          <w:tcPr>
            <w:tcW w:w="39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2026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2027</w:t>
            </w:r>
          </w:p>
        </w:tc>
        <w:tc>
          <w:tcPr>
            <w:tcW w:w="1800" w:type="dxa"/>
            <w:shd w:val="clear" w:color="auto" w:fill="0B2A4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FFFFFF"/>
                <w:sz w:val="19"/>
                <w:szCs w:val="19"/>
              </w:rPr>
              <w:t xml:space="preserve">Plan 2028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Cash flow before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-€3,312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-€12,944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€36,727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Interest expense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€7,591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€8,768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€7,135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Repayment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€19,181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€26,928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€28,560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keepNext/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Total debt service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€26,772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€35,696</w:t>
            </w:r>
          </w:p>
        </w:tc>
        <w:tc>
          <w:tcPr>
            <w:tcW w:w="1800" w:type="dxa"/>
            <w:vAlign w:val="center"/>
          </w:tcPr>
          <w:p>
            <w:pPr>
              <w:keepNext/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€35,696</w:t>
            </w:r>
          </w:p>
        </w:tc>
      </w:tr>
      <w:tr>
        <w:trPr>
          <w:cantSplit/>
        </w:trPr>
        <w:tc>
          <w:tcPr>
            <w:tcW w:w="3900" w:type="dxa"/>
            <w:vAlign w:val="center"/>
          </w:tcPr>
          <w:p>
            <w:pPr>
              <w:spacing w:before="40" w:after="40" w:line="240" w:lineRule="auto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DSCR (debt service coverage)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-0.1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-0.4</w:t>
            </w:r>
          </w:p>
        </w:tc>
        <w:tc>
          <w:tcPr>
            <w:tcW w:w="1800" w:type="dxa"/>
            <w:vAlign w:val="center"/>
          </w:tcPr>
          <w:p>
            <w:pPr>
              <w:spacing w:before="40" w:after="40" w:line="240" w:lineRule="auto"/>
              <w:jc w:val="right"/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1.0</w:t>
            </w:r>
          </w:p>
        </w:tc>
      </w:tr>
    </w:tbl>
    <w:p>
      <w:pPr>
        <w:spacing w:after="200"/>
      </w:pPr>
    </w:p>
    <w:p>
      <w:pPr>
        <w:spacing w:before="0" w:after="140" w:line="276" w:lineRule="auto"/>
        <w:jc w:val="both"/>
      </w:pPr>
      <w:r>
        <w:rPr>
          <w:rFonts w:ascii="Arial" w:hAnsi="Arial" w:cs="Arial"/>
          <w:color w:val="1A1A1A"/>
          <w:sz w:val="22"/>
          <w:szCs w:val="22"/>
        </w:rPr>
        <w:t xml:space="preserve">Debt service coverage ranges between -0.4 (2027) and 1.0 over the plan period. In years with coverage below 1.0, debt service is not fully covered by operating cash flow.</w:t>
      </w:r>
    </w:p>
    <w:p>
      <w:pPr>
        <w:spacing w:before="100" w:after="200" w:line="276" w:lineRule="auto"/>
        <w:jc w:val="both"/>
      </w:pPr>
      <w:r>
        <w:rPr>
          <w:rFonts w:ascii="Arial" w:hAnsi="Arial" w:cs="Arial"/>
          <w:color w:val="33628F"/>
          <w:sz w:val="20"/>
          <w:szCs w:val="20"/>
        </w:rPr>
        <w:t xml:space="preserve">[Explain here how debt service is additionally covered in those years (liquidity reserve, equity, adjusted repayment structure), or adjust the plan before submitting it.]</w:t>
      </w:r>
    </w:p>
    <w:sectPr>
      <w:footerReference w:type="default" r:id="rId3"/>
      <w:pgSz w:w="11906" w:h="16838"/>
      <w:pgMar w:top="1134" w:right="1134" w:bottom="1134" w:left="1417" w:header="708" w:footer="450" w:gutter="0"/>
    </w:sectPr>
  </w:body>
</w:document>
</file>

<file path=word/footer2.xml><?xml version="1.0" encoding="utf-8"?>
<w:ftr xmlns:w="http://schemas.openxmlformats.org/wordprocessingml/2006/main">
  <w:p>
    <w:pPr>
      <w:jc w:val="center"/>
      <w:spacing w:after="0"/>
    </w:pPr>
    <w:r>
      <w:rPr>
        <w:rFonts w:ascii="Arial" w:hAnsi="Arial" w:cs="Arial"/>
        <w:color w:val="5A6672"/>
        <w:sz w:val="18"/>
        <w:szCs w:val="18"/>
      </w:rPr>
      <w:t xml:space="preserve">Financial section Holzmann Joinery GmbH · created with Planvik · Page </w:t>
    </w:r>
    <w:r>
      <w:rPr>
        <w:rFonts w:ascii="Arial" w:hAnsi="Arial" w:cs="Arial"/>
        <w:color w:val="5A6672"/>
        <w:sz w:val="18"/>
        <w:szCs w:val="18"/>
      </w:rPr>
      <w:fldChar w:fldCharType="begin"/>
    </w:r>
    <w:r>
      <w:rPr>
        <w:rFonts w:ascii="Arial" w:hAnsi="Arial" w:cs="Arial"/>
        <w:color w:val="5A6672"/>
        <w:sz w:val="18"/>
        <w:szCs w:val="18"/>
      </w:rPr>
      <w:instrText xml:space="preserve"> PAGE </w:instrText>
    </w:r>
    <w:r>
      <w:rPr>
        <w:rFonts w:ascii="Arial" w:hAnsi="Arial" w:cs="Arial"/>
        <w:color w:val="5A6672"/>
        <w:sz w:val="18"/>
        <w:szCs w:val="18"/>
      </w:rPr>
      <w:fldChar w:fldCharType="separate"/>
    </w:r>
    <w:r>
      <w:rPr>
        <w:rFonts w:ascii="Arial" w:hAnsi="Arial" w:cs="Arial"/>
        <w:color w:val="5A6672"/>
        <w:sz w:val="18"/>
        <w:szCs w:val="18"/>
      </w:rPr>
      <w:t>1</w:t>
    </w:r>
    <w:r>
      <w:rPr>
        <w:rFonts w:ascii="Arial" w:hAnsi="Arial" w:cs="Arial"/>
        <w:color w:val="5A6672"/>
        <w:sz w:val="18"/>
        <w:szCs w:val="18"/>
      </w:rPr>
      <w:fldChar w:fldCharType="end"/>
    </w:r>
  </w:p>
</w:ftr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color w:val="1A1A1A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pPr>
      <w:keepNext/>
      <w:spacing w:before="360" w:after="160"/>
      <w:outlineLvl w:val="0"/>
    </w:pPr>
    <w:rPr>
      <w:rFonts w:ascii="Arial" w:hAnsi="Arial" w:cs="Arial"/>
      <w:b/>
      <w:color w:val="091E32"/>
      <w:sz w:val="28"/>
      <w:szCs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3" Type="http://schemas.openxmlformats.org/officeDocument/2006/relationships/footer" Target="footer2.xml"/></Relationships>
</file>