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0" w:after="60" w:line="276" w:lineRule="auto"/>
        <w:jc w:val="center"/>
      </w:pPr>
      <w:r>
        <w:rPr>
          <w:rFonts w:ascii="Arial" w:hAnsi="Arial" w:cs="Arial"/>
          <w:b/>
          <w:color w:val="091E32"/>
          <w:sz w:val="40"/>
          <w:szCs w:val="40"/>
        </w:rPr>
        <w:t xml:space="preserve">Financial Section of the Business Plan</w:t>
      </w:r>
    </w:p>
    <w:p>
      <w:pPr>
        <w:spacing w:before="0" w:after="40" w:line="276" w:lineRule="auto"/>
        <w:jc w:val="center"/>
      </w:pPr>
      <w:r>
        <w:rPr>
          <w:rFonts w:ascii="Arial" w:hAnsi="Arial" w:cs="Arial"/>
          <w:b/>
          <w:color w:val="1A1A1A"/>
          <w:sz w:val="26"/>
          <w:szCs w:val="26"/>
        </w:rPr>
        <w:t xml:space="preserve">Bergwald Gastro GmbH</w:t>
      </w:r>
    </w:p>
    <w:p>
      <w:pPr>
        <w:spacing w:before="0" w:after="400" w:line="276" w:lineRule="auto"/>
        <w:jc w:val="center"/>
      </w:pPr>
      <w:r>
        <w:rPr>
          <w:rFonts w:ascii="Arial" w:hAnsi="Arial" w:cs="Arial"/>
          <w:color w:val="5A6672"/>
          <w:sz w:val="20"/>
          <w:szCs w:val="20"/>
        </w:rPr>
        <w:t xml:space="preserve">Created from the Planvik financial plan</w:t>
      </w:r>
    </w:p>
    <w:p>
      <w:pPr>
        <w:spacing w:before="0" w:after="260" w:line="276" w:lineRule="auto"/>
        <w:jc w:val="both"/>
      </w:pPr>
      <w:r>
        <w:rPr>
          <w:rFonts w:ascii="Arial" w:hAnsi="Arial" w:cs="Arial"/>
          <w:color w:val="33628F"/>
          <w:sz w:val="18"/>
          <w:szCs w:val="18"/>
        </w:rPr>
        <w:t xml:space="preserve">Note: All figures come from the attached Excel financial model. Replace the blue passages in square brackets with your own reasoning and delete the brackets.</w:t>
      </w:r>
    </w:p>
    <w:p>
      <w:pPr>
        <w:pStyle w:val="Heading1"/>
      </w:pPr>
      <w:r>
        <w:t xml:space="preserve">7. Business Performance to Date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company grew its revenue from €1,280,000 in 2024 to €1,360,000 in 2025 (6.3% in total). The earnings position is as follows:</w:t>
      </w:r>
    </w:p>
    <w:p>
      <w:pPr>
        <w:keepNext/>
        <w:spacing w:after="60"/>
      </w:pPr>
    </w:p>
    <w:tbl>
      <w:tblPr>
        <w:tblW w:w="6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600"/>
        <w:gridCol w:w="2000"/>
        <w:gridCol w:w="2000"/>
      </w:tblGrid>
      <w:tr>
        <w:trPr>
          <w:cantSplit/>
          <w:tblHeader/>
        </w:trPr>
        <w:tc>
          <w:tcPr>
            <w:tcW w:w="2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Actual 2024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Actual 2025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Revenue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€1,280,000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€1,360,000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€140,000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€165,000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EBITDA margin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10.9%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12.1%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Net income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€57,000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€79,000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plan for 2026 connects to the last actual year with planned revenue of €1,312,196 (-3.5% versus 2025).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Current management accounts including the trial balance are attached to the application.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[Add two or three sentences here on the key milestones since foundation and the drivers behind the performance to date. For example: Since foundation we have won two business clients as framework-agreement partners and doubled our workshop space.]</w:t>
      </w:r>
    </w:p>
    <w:p>
      <w:pPr>
        <w:pStyle w:val="Heading1"/>
      </w:pPr>
      <w:r>
        <w:t xml:space="preserve">8. Capital Requirements and Financing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Purpose of the project: Refurbishment of the dining room and addition of an outdoor terrace.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total financing requirement is €350,000. Of this, €290,000 is debt-financed; €60,000 is contributed as equity.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Use of Funds</w:t>
      </w:r>
    </w:p>
    <w:p>
      <w:pPr>
        <w:keepNext/>
        <w:spacing w:after="60"/>
      </w:pPr>
    </w:p>
    <w:tbl>
      <w:tblPr>
        <w:tblW w:w="8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6200"/>
        <w:gridCol w:w="2400"/>
      </w:tblGrid>
      <w:tr>
        <w:trPr>
          <w:cantSplit/>
          <w:tblHeader/>
        </w:trPr>
        <w:tc>
          <w:tcPr>
            <w:tcW w:w="62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2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Dining room refurbishment and furnishing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€44,000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Kitchen equipment and refrigeration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€56,000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Ventilation system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€27,000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Outdoor terrace and furniture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€11,000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POS system and digitalisation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€39,000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Upstairs guest area furnishing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€18,000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Bar area and dispensing equipment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€9,000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Lighting and acoustics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€12,000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 investments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€216,000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Working capital and ramp-up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€134,000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 capital requirement</w:t>
            </w:r>
          </w:p>
        </w:tc>
        <w:tc>
          <w:tcPr>
            <w:tcW w:w="2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€350,000</w:t>
            </w:r>
          </w:p>
        </w:tc>
      </w:tr>
    </w:tbl>
    <w:p>
      <w:pPr>
        <w:spacing w:after="200"/>
      </w:pP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explain the two or three largest investment items in one sentence each.]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Financing Structure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financing of the project consists of the following new components:</w:t>
      </w:r>
    </w:p>
    <w:p>
      <w:pPr>
        <w:keepNext/>
        <w:spacing w:after="60"/>
      </w:pPr>
    </w:p>
    <w:tbl>
      <w:tblPr>
        <w:tblW w:w="89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900"/>
        <w:gridCol w:w="1600"/>
        <w:gridCol w:w="1100"/>
        <w:gridCol w:w="1900"/>
        <w:gridCol w:w="1400"/>
      </w:tblGrid>
      <w:tr>
        <w:trPr>
          <w:cantSplit/>
          <w:tblHeader/>
        </w:trPr>
        <w:tc>
          <w:tcPr>
            <w:tcW w:w="2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Component</w:t>
            </w:r>
          </w:p>
        </w:tc>
        <w:tc>
          <w:tcPr>
            <w:tcW w:w="1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Amount</w:t>
            </w:r>
          </w:p>
        </w:tc>
        <w:tc>
          <w:tcPr>
            <w:tcW w:w="11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Interest p.a.</w:t>
            </w:r>
          </w:p>
        </w:tc>
        <w:tc>
          <w:tcPr>
            <w:tcW w:w="1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w="1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Repayment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Bank loan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€220,000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4.9%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 years (until 12/2032)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Annuity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KfW entrepreneur loan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€70,000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3.6%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 years (until 12/2031)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Annuity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Equity contribution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€60,000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</w:t>
            </w:r>
          </w:p>
        </w:tc>
        <w:tc>
          <w:tcPr>
            <w:tcW w:w="16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€350,000</w:t>
            </w:r>
          </w:p>
        </w:tc>
        <w:tc>
          <w:tcPr>
            <w:tcW w:w="11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In addition, one existing facility with an outstanding balance of €95,000 is in place. It is included in the financial model with its own amortization schedule (Debt Schedules sheet) and fully reflected in the debt service calculation below.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briefly justify terms and repayment structure, e.g. the term follows the useful life of the investment.]</w:t>
      </w:r>
    </w:p>
    <w:p>
      <w:pPr>
        <w:pStyle w:val="Heading1"/>
      </w:pPr>
      <w:r>
        <w:t xml:space="preserve">9. Financial Plan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Profitability Forecast (P&amp;L Plan)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revenue plan is built bottom-up: each revenue line from price and volume, with individually defined growth rates. The largest revenue lines in the first plan year are À la carte restaurant revenue at €229,460, Events and buffets at €186,480 and Lunch menu and catering at €170,520.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Revenue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€1,312,196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€1,545,981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€1,750,262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Other operating income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€75,000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€0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Cost of materials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-€268,062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-€315,822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-€357,554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Personnel expenses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-€653,391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-€728,409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-€788,691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Other operating expenses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-€250,744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-€274,541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-€264,507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€214,998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€227,209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€339,511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Depreciation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-€26,919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-€45,200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-€49,725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Interest expense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-€16,323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-€14,332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-€11,398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Taxes (30%)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-€51,527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-€50,303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-€83,516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Net income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€120,229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€117,374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€194,871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plan is profitable in every plan year.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The planned growth is supported by the following measures: Reopening after refurbishment with an expanded events business.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Liquidity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liquidity plan is included in the attached financial model on a monthly basis for the first plan year (Cash Flow sheet), including VAT, payment terms (5 days receivables, 20 days payables) and all loan repayments.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state your liquidity reserve or an existing overdraft facility here.]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Debt Service Capacity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Debt service comprises interest and repayment of all existing and new financing. It is compared with cash flow before debt service (EBITDA less taxes):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Cash flow before debt service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€163,472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€176,906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€255,994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Interest expense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€16,323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€14,332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€11,398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Repayment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€33,025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€66,681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€69,614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 debt service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€49,349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€81,012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€81,012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DSCR (debt service coverage)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3.3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2.2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3.2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Debt service is covered from operating cash flow in every plan year; the lowest coverage ratio of the plan period is 2.2 in 2027.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After the grace period of the main loan ends, repayments increase; coverage remains above 1.0 thereafter.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Scenarios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financial model includes a scenario analysis on the Scenarios sheet. The worst case assumes 25.0% lower revenue and 15.0% higher costs; the best case assumes 18.0% higher revenue and 10.0% lower costs.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Countermeasures in the worst case: The second refurbishment stage is deferred, and cost of goods is managed via menu calculation.</w:t>
      </w:r>
    </w:p>
    <w:sectPr>
      <w:footerReference w:type="default" r:id="rId3"/>
      <w:pgSz w:w="11906" w:h="16838"/>
      <w:pgMar w:top="1134" w:right="1134" w:bottom="1134" w:left="1417" w:header="708" w:footer="450" w:gutter="0"/>
    </w:sectPr>
  </w:body>
</w:document>
</file>

<file path=word/footer2.xml><?xml version="1.0" encoding="utf-8"?>
<w:ftr xmlns:w="http://schemas.openxmlformats.org/wordprocessingml/2006/main">
  <w:p>
    <w:pPr>
      <w:jc w:val="center"/>
      <w:spacing w:after="0"/>
    </w:pPr>
    <w:r>
      <w:rPr>
        <w:rFonts w:ascii="Arial" w:hAnsi="Arial" w:cs="Arial"/>
        <w:color w:val="5A6672"/>
        <w:sz w:val="18"/>
        <w:szCs w:val="18"/>
      </w:rPr>
      <w:t xml:space="preserve">Financial section Bergwald Gastro GmbH · created with Planvik · Page </w:t>
    </w:r>
    <w:r>
      <w:rPr>
        <w:rFonts w:ascii="Arial" w:hAnsi="Arial" w:cs="Arial"/>
        <w:color w:val="5A6672"/>
        <w:sz w:val="18"/>
        <w:szCs w:val="18"/>
      </w:rPr>
      <w:fldChar w:fldCharType="begin"/>
    </w:r>
    <w:r>
      <w:rPr>
        <w:rFonts w:ascii="Arial" w:hAnsi="Arial" w:cs="Arial"/>
        <w:color w:val="5A6672"/>
        <w:sz w:val="18"/>
        <w:szCs w:val="18"/>
      </w:rPr>
      <w:instrText xml:space="preserve"> PAGE </w:instrText>
    </w:r>
    <w:r>
      <w:rPr>
        <w:rFonts w:ascii="Arial" w:hAnsi="Arial" w:cs="Arial"/>
        <w:color w:val="5A6672"/>
        <w:sz w:val="18"/>
        <w:szCs w:val="18"/>
      </w:rPr>
      <w:fldChar w:fldCharType="separate"/>
    </w:r>
    <w:r>
      <w:rPr>
        <w:rFonts w:ascii="Arial" w:hAnsi="Arial" w:cs="Arial"/>
        <w:color w:val="5A6672"/>
        <w:sz w:val="18"/>
        <w:szCs w:val="18"/>
      </w:rPr>
      <w:t>1</w:t>
    </w:r>
    <w:r>
      <w:rPr>
        <w:rFonts w:ascii="Arial" w:hAnsi="Arial" w:cs="Arial"/>
        <w:color w:val="5A6672"/>
        <w:sz w:val="18"/>
        <w:szCs w:val="18"/>
      </w:rPr>
      <w:fldChar w:fldCharType="end"/>
    </w:r>
  </w:p>
</w:ftr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color w:val="1A1A1A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pPr>
      <w:keepNext/>
      <w:spacing w:before="360" w:after="160"/>
      <w:outlineLvl w:val="0"/>
    </w:pPr>
    <w:rPr>
      <w:rFonts w:ascii="Arial" w:hAnsi="Arial" w:cs="Arial"/>
      <w:b/>
      <w:color w:val="091E32"/>
      <w:sz w:val="28"/>
      <w:szCs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footer" Target="footer2.xml"/></Relationships>
</file>