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Finanzteil zum Businessplan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Schreinerei Holzmann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Erstellt aus dem Planvik-Finanzplan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Hinweis: Die Zahlen stammen aus dem beigefügten Excel-Finanzmodell. Blau markierte Abschnitte in eckigen Klammern ersetzt du durch deine eigene Begründung und löschst die Klammern.</w:t>
      </w:r>
    </w:p>
    <w:p>
      <w:pPr>
        <w:pStyle w:val="Heading1"/>
      </w:pPr>
      <w:r>
        <w:t xml:space="preserve">7. Kapitalbedarf und Finanzierung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Gegenstand des Vorhabens: Anschaffung eines CNC-Bearbeitungszentrums und Ausbau des Gewerbekundengeschäfts.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Finanzierungsbedarf beträgt insgesamt 220.000 €. Davon werden 180.000 € über Fremdkapital finanziert; 40.000 € werden als Eigenmittel eingebracht.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Mittelverwendung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CNC-Bearbeitungszentrum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85.000 €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Absauganlage und Werkstatteinrichtung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22.000 €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Investitionen gesamt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107.000 €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Betriebsmittel und Anlaufphase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113.000 €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Kapitalbedarf gesamt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220.000 €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Erläutere die zwei, drei größten Investitionspositionen in je einem Satz.]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Finanzierungsstruktur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Finanzierung des Vorhabens setzt sich aus den folgenden neuen Bausteinen zusammen: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Baustein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Betrag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Zins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Laufzeit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Tilgung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Bankdarlehen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180.000 €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5,9 %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Jahre (bis 03/2032)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Annuität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Eigenmittel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40.000 €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Summe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220.000 €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Begründe kurz Laufzeiten und Tilgungsstruktur, z. B. Laufzeit folgt der Nutzungsdauer der Investition.]</w:t>
      </w:r>
    </w:p>
    <w:p>
      <w:pPr>
        <w:pStyle w:val="Heading1"/>
      </w:pPr>
      <w:r>
        <w:t xml:space="preserve">8. Finanzplanung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Rentabilitätsvorschau (Plan-GuV)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Umsatzplanung ist von unten hergeleitet: je Umsatzträger aus Preis und Menge, mit einzeln hinterlegten Wachstumsraten. Die größten Umsatzträger im ersten Planjahr sind Möbelbau nach Maß (Privatkunden) mit 216.000 € und Innenausbau für Gewerbekunden mit 68.400 €.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Umsatzerlöse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284.400 €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362.880 €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463.536 €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Erträge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12.000 €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Materialaufwand / Wareneinsatz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-108.072 €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-137.894 €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-176.144 €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Personalaufwand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-112.240 €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-161.772 €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-165.008 €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Sonstige betriebliche Aufwendungen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-79.400 €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-76.158 €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-77.965 €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-3.312 €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-12.944 €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44.419 €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Abschreibungen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-6.375 €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-11.381 €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-11.643 €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-7.591 €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-8.768 €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-7.135 €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Steuern (30 %)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0 €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-7.692 €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Jahresüberschuss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-17.278 €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-33.093 €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17.949 €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Planung erreicht im Jahr 2028 ein positives Jahresergebnis; das Jahr 2026 ist als Anlaufphase mit einem negativen Ergebnis geplant.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Hinter dem geplanten Wachstum stehen folgende Maßnahmen: Zusammenarbeit mit zwei regionalen Architekturbüros und Ausbau der Ausstellungsfläche.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Liquidität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Liquiditätsplan liegt im beigefügten Finanzmodell für das erste Planjahr auf Monatsbasis vor (Blatt Kapitalflussrechnung), einschließlich Umsatzsteuer, Zahlungszielen (30 Tage Forderungslaufzeit, 25 Tage Lieferantenziel) und sämtlicher Tilgungen.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Nenne hier deine Liquiditätsreserve oder eine bestehende Kontokorrentlinie.]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Kapitaldienstfähigkeit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Der Kapitaldienst umfasst Zins und Tilgung aller bestehenden und neuen Finanzierungen. Ihm steht der Cashflow vor Kapitaldienst (EBITDA abzüglich Steuern) gegenüber: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Position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Cashflow vor Kapitaldienst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-3.312 €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-12.944 €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36.727 €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Zinsaufwand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7.591 €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8.768 €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7.135 €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Tilgung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19.181 €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26.928 €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28.560 €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Kapitaldienst gesamt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26.772 €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35.696 €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35.696 €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(Kapitaldienstdeckung)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-0,1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-0,4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1,0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Die Kapitaldienstdeckung liegt in der Planperiode zwischen -0,4 (2027) und 1,0. In Jahren mit einer Deckung unter 1,0 wird der Kapitaldienst nicht vollständig aus dem laufenden Cashflow bedient.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[Erläutere hier, wie der Kapitaldienst in diesen Jahren zusätzlich gedeckt wird (Liquiditätsreserve, Eigenmittel, angepasste Tilgungsstruktur), oder passe die Planung an, bevor du den Plan einreichst.]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Finanzteil Schreinerei Holzmann GmbH · erstellt mit Planvik · Seite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