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0" w:after="60" w:line="276" w:lineRule="auto"/>
        <w:jc w:val="center"/>
      </w:pPr>
      <w:r>
        <w:rPr>
          <w:rFonts w:ascii="Arial" w:hAnsi="Arial" w:cs="Arial"/>
          <w:b/>
          <w:color w:val="091E32"/>
          <w:sz w:val="40"/>
          <w:szCs w:val="40"/>
        </w:rPr>
        <w:t xml:space="preserve">Finanzteil zum Businessplan</w:t>
      </w:r>
    </w:p>
    <w:p>
      <w:pPr>
        <w:spacing w:before="0" w:after="40" w:line="276" w:lineRule="auto"/>
        <w:jc w:val="center"/>
      </w:pPr>
      <w:r>
        <w:rPr>
          <w:rFonts w:ascii="Arial" w:hAnsi="Arial" w:cs="Arial"/>
          <w:b/>
          <w:color w:val="1A1A1A"/>
          <w:sz w:val="26"/>
          <w:szCs w:val="26"/>
        </w:rPr>
        <w:t xml:space="preserve">Bergwald Gastro GmbH</w:t>
      </w:r>
    </w:p>
    <w:p>
      <w:pPr>
        <w:spacing w:before="0" w:after="400" w:line="276" w:lineRule="auto"/>
        <w:jc w:val="center"/>
      </w:pPr>
      <w:r>
        <w:rPr>
          <w:rFonts w:ascii="Arial" w:hAnsi="Arial" w:cs="Arial"/>
          <w:color w:val="5A6672"/>
          <w:sz w:val="20"/>
          <w:szCs w:val="20"/>
        </w:rPr>
        <w:t xml:space="preserve">Erstellt aus dem Planvik-Finanzplan</w:t>
      </w:r>
    </w:p>
    <w:p>
      <w:pPr>
        <w:spacing w:before="0" w:after="260" w:line="276" w:lineRule="auto"/>
        <w:jc w:val="both"/>
      </w:pPr>
      <w:r>
        <w:rPr>
          <w:rFonts w:ascii="Arial" w:hAnsi="Arial" w:cs="Arial"/>
          <w:color w:val="33628F"/>
          <w:sz w:val="18"/>
          <w:szCs w:val="18"/>
        </w:rPr>
        <w:t xml:space="preserve">Hinweis: Die Zahlen stammen aus dem beigefügten Excel-Finanzmodell. Blau markierte Abschnitte in eckigen Klammern ersetzt du durch deine eigene Begründung und löschst die Klammern.</w:t>
      </w:r>
    </w:p>
    <w:p>
      <w:pPr>
        <w:pStyle w:val="Heading1"/>
      </w:pPr>
      <w:r>
        <w:t xml:space="preserve">7. Bisherige Entwicklung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Das Unternehmen hat seinen Umsatz von 1.280.000 € im Jahr 2024 auf 1.360.000 € im Jahr 2025 gesteigert (6,3 % insgesamt). Die Ertragslage stellt sich wie folgt dar:</w:t>
      </w:r>
    </w:p>
    <w:p>
      <w:pPr>
        <w:keepNext/>
        <w:spacing w:after="60"/>
      </w:pPr>
    </w:p>
    <w:tbl>
      <w:tblPr>
        <w:tblW w:w="6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600"/>
        <w:gridCol w:w="2000"/>
        <w:gridCol w:w="2000"/>
      </w:tblGrid>
      <w:tr>
        <w:trPr>
          <w:cantSplit/>
          <w:tblHeader/>
        </w:trPr>
        <w:tc>
          <w:tcPr>
            <w:tcW w:w="2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Ist 2024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Ist 2025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Umsatzerlöse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1.280.000 €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1.360.000 €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140.000 €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165.000 €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EBITDA-Marge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10,9 %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12,1 %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Jahresüberschuss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57.000 €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79.000 €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Planung für 2026 schließt mit geplanten Umsatzerlösen von 1.312.196 € an das letzte Ist-Jahr an (-3,5 % gegenüber 2025).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Aktuelle BWA mit Summen- und Saldenliste liegen dem Antrag bei.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[Ergänze hier zwei, drei Sätze zu den wichtigsten Meilensteinen seit Gründung und den Treibern hinter der bisherigen Entwicklung. Zum Beispiel: Seit der Gründung haben wir zwei Gewerbekunden als Rahmenvertragspartner gewonnen und die Werkstattfläche verdoppelt.]</w:t>
      </w:r>
    </w:p>
    <w:p>
      <w:pPr>
        <w:pStyle w:val="Heading1"/>
      </w:pPr>
      <w:r>
        <w:t xml:space="preserve">8. Kapitalbedarf und Finanzierung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Gegenstand des Vorhabens: Modernisierung des Gastraums und Erweiterung um eine Außenterrasse.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Finanzierungsbedarf beträgt insgesamt 350.000 €. Davon werden 290.000 € über Fremdkapital finanziert; 60.000 € werden als Eigenmittel eingebracht.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Mittelverwendung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6200"/>
        <w:gridCol w:w="2400"/>
      </w:tblGrid>
      <w:tr>
        <w:trPr>
          <w:cantSplit/>
          <w:tblHeader/>
        </w:trPr>
        <w:tc>
          <w:tcPr>
            <w:tcW w:w="62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2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Betrag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Umbau und Einrichtung Gastraum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44.000 €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Küchentechnik und Kühlung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56.000 €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Lüftungsanlage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27.000 €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Außenterrasse und Möblierung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11.000 €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Kassensystem und Digitalisierung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39.000 €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Einrichtung Gästebereich Obergeschoss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18.000 €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Barbereich und Ausschanktechnik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9.000 €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Beleuchtung und Akustik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12.000 €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Investitionen gesamt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216.000 €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Betriebsmittel und Anlaufphase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134.000 €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Kapitalbedarf gesamt</w:t>
            </w:r>
          </w:p>
        </w:tc>
        <w:tc>
          <w:tcPr>
            <w:tcW w:w="2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350.000 €</w:t>
            </w:r>
          </w:p>
        </w:tc>
      </w:tr>
    </w:tbl>
    <w:p>
      <w:pPr>
        <w:spacing w:after="200"/>
      </w:pP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Erläutere die zwei, drei größten Investitionspositionen in je einem Satz.]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Finanzierungsstruktur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Finanzierung des Vorhabens setzt sich aus den folgenden neuen Bausteinen zusammen:</w:t>
      </w:r>
    </w:p>
    <w:p>
      <w:pPr>
        <w:keepNext/>
        <w:spacing w:after="60"/>
      </w:pPr>
    </w:p>
    <w:tbl>
      <w:tblPr>
        <w:tblW w:w="89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900"/>
        <w:gridCol w:w="1600"/>
        <w:gridCol w:w="1100"/>
        <w:gridCol w:w="1900"/>
        <w:gridCol w:w="1400"/>
      </w:tblGrid>
      <w:tr>
        <w:trPr>
          <w:cantSplit/>
          <w:tblHeader/>
        </w:trPr>
        <w:tc>
          <w:tcPr>
            <w:tcW w:w="2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Baustein</w:t>
            </w:r>
          </w:p>
        </w:tc>
        <w:tc>
          <w:tcPr>
            <w:tcW w:w="1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Betrag</w:t>
            </w:r>
          </w:p>
        </w:tc>
        <w:tc>
          <w:tcPr>
            <w:tcW w:w="11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Zins p.a.</w:t>
            </w:r>
          </w:p>
        </w:tc>
        <w:tc>
          <w:tcPr>
            <w:tcW w:w="1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Laufzeit</w:t>
            </w:r>
          </w:p>
        </w:tc>
        <w:tc>
          <w:tcPr>
            <w:tcW w:w="1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Tilgung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Bankdarlehen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220.000 €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4,9 %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 Jahre (bis 12/2032)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Annuität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KfW-Unternehmerkredit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3,6 %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 Jahre (bis 12/2031)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Annuität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Eigenmittel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Summe</w:t>
            </w:r>
          </w:p>
        </w:tc>
        <w:tc>
          <w:tcPr>
            <w:tcW w:w="16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350.000 €</w:t>
            </w:r>
          </w:p>
        </w:tc>
        <w:tc>
          <w:tcPr>
            <w:tcW w:w="11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Daneben besteht eine laufende Finanzierung mit einer Restschuld von 95.000 €. Sie ist im Finanzmodell mit Tilgungsplan hinterlegt (Blatt Tilgungspläne) und in der Kapitaldienstrechnung unten vollständig berücksichtigt.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Begründe kurz Laufzeiten und Tilgungsstruktur, z. B. Laufzeit folgt der Nutzungsdauer der Investition.]</w:t>
      </w:r>
    </w:p>
    <w:p>
      <w:pPr>
        <w:pStyle w:val="Heading1"/>
      </w:pPr>
      <w:r>
        <w:t xml:space="preserve">9. Finanzplanung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Rentabilitätsvorschau (Plan-GuV)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Umsatzplanung ist von unten hergeleitet: je Umsatzträger aus Preis und Menge, mit einzeln hinterlegten Wachstumsraten. Die größten Umsatzträger im ersten Planjahr sind Restaurantumsatz à la carte mit 229.460 €, Veranstaltungen und Buffets mit 186.480 € und Mittagstisch und Catering mit 170.520 €.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Umsatzerlöse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1.312.196 €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1.545.981 €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1.750.262 €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Sonstige betriebliche Erträge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75.000 €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0 €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Materialaufwand / Wareneinsatz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-268.062 €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-315.822 €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-357.554 €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Personalaufwand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-653.391 €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-728.409 €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-788.691 €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Sonstige betriebliche Aufwendungen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-250.744 €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-274.541 €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-264.507 €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214.998 €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227.209 €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339.511 €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Abschreibungen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-26.919 €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-45.200 €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-49.725 €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Zinsaufwand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-16.323 €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-14.332 €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-11.398 €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Steuern (30 %)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-51.527 €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-50.303 €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-83.516 €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Jahresüberschuss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120.229 €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117.374 €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194.871 €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Planung ist in allen Planjahren profitabel.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Hinter dem geplanten Wachstum stehen folgende Maßnahmen: Wiedereröffnung nach Umbau mit erweitertem Veranstaltungsgeschäft.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Liquidität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Liquiditätsplan liegt im beigefügten Finanzmodell für das erste Planjahr auf Monatsbasis vor (Blatt Kapitalflussrechnung), einschließlich Umsatzsteuer, Zahlungszielen (5 Tage Forderungslaufzeit, 20 Tage Lieferantenziel) und sämtlicher Tilgungen.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Nenne hier deine Liquiditätsreserve oder eine bestehende Kontokorrentlinie.]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Kapitaldienstfähigkeit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Kapitaldienst umfasst Zins und Tilgung aller bestehenden und neuen Finanzierungen. Ihm steht der Cashflow vor Kapitaldienst (EBITDA abzüglich Steuern) gegenüber: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Cashflow vor Kapitaldienst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163.472 €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176.906 €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255.994 €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Zinsaufwand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16.323 €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14.332 €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11.398 €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Tilgung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33.025 €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66.681 €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69.614 €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Kapitaldienst gesamt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49.349 €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81.012 €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81.012 €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DSCR (Kapitaldienstdeckung)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3,3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2,2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3,2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Kapitaldienst ist in jedem Planjahr aus dem laufenden Geschäft gedeckt; der niedrigste Deckungsgrad der Planperiode beträgt 2,2 im Jahr 2027.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Nach Ende der tilgungsfreien Zeit des Hauptdarlehens steigt die Tilgung; die Deckung bleibt auch danach über 1,0.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Szenarien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Das Finanzmodell enthält eine Szenariorechnung auf dem Blatt Szenarien. Im Worst Case sind 25,0 % weniger Umsatz und 15,0 % höhere Kosten unterstellt, im Best Case 18,0 % mehr Umsatz und 10,0 % niedrigere Kosten.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Gegensteuerung im Worst Case: Die zweite Umbaustufe wird verschoben, der Wareneinsatz wird über Menükalkulation nachgesteuert.</w:t>
      </w:r>
    </w:p>
    <w:sectPr>
      <w:footerReference w:type="default" r:id="rId3"/>
      <w:pgSz w:w="11906" w:h="16838"/>
      <w:pgMar w:top="1134" w:right="1134" w:bottom="1134" w:left="1417" w:header="708" w:footer="450" w:gutter="0"/>
    </w:sectPr>
  </w:body>
</w:document>
</file>

<file path=word/footer2.xml><?xml version="1.0" encoding="utf-8"?>
<w:ftr xmlns:w="http://schemas.openxmlformats.org/wordprocessingml/2006/main">
  <w:p>
    <w:pPr>
      <w:jc w:val="center"/>
      <w:spacing w:after="0"/>
    </w:pPr>
    <w:r>
      <w:rPr>
        <w:rFonts w:ascii="Arial" w:hAnsi="Arial" w:cs="Arial"/>
        <w:color w:val="5A6672"/>
        <w:sz w:val="18"/>
        <w:szCs w:val="18"/>
      </w:rPr>
      <w:t xml:space="preserve">Finanzteil Bergwald Gastro GmbH · erstellt mit Planvik · Seite </w:t>
    </w:r>
    <w:r>
      <w:rPr>
        <w:rFonts w:ascii="Arial" w:hAnsi="Arial" w:cs="Arial"/>
        <w:color w:val="5A6672"/>
        <w:sz w:val="18"/>
        <w:szCs w:val="18"/>
      </w:rPr>
      <w:fldChar w:fldCharType="begin"/>
    </w:r>
    <w:r>
      <w:rPr>
        <w:rFonts w:ascii="Arial" w:hAnsi="Arial" w:cs="Arial"/>
        <w:color w:val="5A6672"/>
        <w:sz w:val="18"/>
        <w:szCs w:val="18"/>
      </w:rPr>
      <w:instrText xml:space="preserve"> PAGE </w:instrText>
    </w:r>
    <w:r>
      <w:rPr>
        <w:rFonts w:ascii="Arial" w:hAnsi="Arial" w:cs="Arial"/>
        <w:color w:val="5A6672"/>
        <w:sz w:val="18"/>
        <w:szCs w:val="18"/>
      </w:rPr>
      <w:fldChar w:fldCharType="separate"/>
    </w:r>
    <w:r>
      <w:rPr>
        <w:rFonts w:ascii="Arial" w:hAnsi="Arial" w:cs="Arial"/>
        <w:color w:val="5A6672"/>
        <w:sz w:val="18"/>
        <w:szCs w:val="18"/>
      </w:rPr>
      <w:t>1</w:t>
    </w:r>
    <w:r>
      <w:rPr>
        <w:rFonts w:ascii="Arial" w:hAnsi="Arial" w:cs="Arial"/>
        <w:color w:val="5A6672"/>
        <w:sz w:val="18"/>
        <w:szCs w:val="18"/>
      </w:rPr>
      <w:fldChar w:fldCharType="end"/>
    </w:r>
  </w:p>
</w:ftr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color w:val="1A1A1A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pPr>
      <w:keepNext/>
      <w:spacing w:before="360" w:after="160"/>
      <w:outlineLvl w:val="0"/>
    </w:pPr>
    <w:rPr>
      <w:rFonts w:ascii="Arial" w:hAnsi="Arial" w:cs="Arial"/>
      <w:b/>
      <w:color w:val="091E32"/>
      <w:sz w:val="28"/>
      <w:szCs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footer" Target="footer2.xml"/></Relationships>
</file>